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4B64B0" w:rsidRDefault="005C3B58" w:rsidP="009F29F9">
      <w:pPr>
        <w:keepNext/>
        <w:spacing w:before="240" w:line="360" w:lineRule="auto"/>
        <w:jc w:val="both"/>
        <w:rPr>
          <w:rFonts w:ascii="Arial" w:hAnsi="Arial" w:cs="Arial"/>
          <w:sz w:val="36"/>
        </w:rPr>
      </w:pPr>
      <w:r w:rsidRPr="004B64B0">
        <w:rPr>
          <w:rFonts w:ascii="Arial" w:hAnsi="Arial" w:cs="Arial"/>
          <w:b/>
          <w:noProof/>
          <w:sz w:val="36"/>
        </w:rPr>
        <w:drawing>
          <wp:anchor distT="0" distB="0" distL="114300" distR="114300" simplePos="0" relativeHeight="251659264" behindDoc="0" locked="0" layoutInCell="1" allowOverlap="1" wp14:anchorId="3DC51D5B" wp14:editId="4E040872">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4B64B0" w:rsidRDefault="005C3B58" w:rsidP="009F29F9">
      <w:pPr>
        <w:keepNext/>
        <w:spacing w:before="240" w:line="360" w:lineRule="auto"/>
        <w:jc w:val="both"/>
        <w:rPr>
          <w:rFonts w:ascii="Arial" w:hAnsi="Arial" w:cs="Arial"/>
          <w:sz w:val="36"/>
        </w:rPr>
      </w:pPr>
    </w:p>
    <w:p w:rsidR="005C3B58" w:rsidRPr="004B64B0" w:rsidRDefault="005C3B58" w:rsidP="009F29F9">
      <w:pPr>
        <w:keepNext/>
        <w:spacing w:before="240" w:line="360" w:lineRule="auto"/>
        <w:jc w:val="both"/>
        <w:rPr>
          <w:rFonts w:ascii="Arial" w:hAnsi="Arial" w:cs="Arial"/>
          <w:sz w:val="36"/>
        </w:rPr>
      </w:pPr>
    </w:p>
    <w:p w:rsidR="00DE7C7F" w:rsidRPr="004B64B0" w:rsidRDefault="00DE7C7F" w:rsidP="00DE7C7F">
      <w:pPr>
        <w:pStyle w:val="TCMainHeading"/>
        <w:rPr>
          <w:rFonts w:cs="Arial"/>
          <w:sz w:val="44"/>
          <w:szCs w:val="44"/>
        </w:rPr>
      </w:pPr>
      <w:bookmarkStart w:id="0" w:name="_Toc272854012"/>
      <w:bookmarkStart w:id="1" w:name="_Toc272854105"/>
      <w:bookmarkStart w:id="2" w:name="_Toc272939146"/>
      <w:r w:rsidRPr="004B64B0">
        <w:rPr>
          <w:rFonts w:cs="Arial"/>
          <w:sz w:val="44"/>
          <w:szCs w:val="44"/>
        </w:rPr>
        <w:t xml:space="preserve">NATIONAL INSTITUTE FOR HEALTH </w:t>
      </w:r>
    </w:p>
    <w:p w:rsidR="00DE7C7F" w:rsidRPr="004B64B0" w:rsidRDefault="00DE7C7F" w:rsidP="00DE7C7F">
      <w:pPr>
        <w:pStyle w:val="TCMainHeading"/>
        <w:rPr>
          <w:rFonts w:cs="Arial"/>
          <w:sz w:val="44"/>
          <w:szCs w:val="44"/>
        </w:rPr>
      </w:pPr>
      <w:r w:rsidRPr="004B64B0">
        <w:rPr>
          <w:rFonts w:cs="Arial"/>
          <w:sz w:val="44"/>
          <w:szCs w:val="44"/>
        </w:rPr>
        <w:t>AND CARE EXCELLENCE</w:t>
      </w:r>
    </w:p>
    <w:p w:rsidR="00DE7C7F" w:rsidRPr="004B64B0" w:rsidRDefault="00DE7C7F" w:rsidP="00DE7C7F">
      <w:pPr>
        <w:pStyle w:val="TCMainHeading"/>
        <w:rPr>
          <w:rFonts w:cs="Arial"/>
        </w:rPr>
      </w:pPr>
    </w:p>
    <w:p w:rsidR="00DE7C7F" w:rsidRPr="004B64B0" w:rsidRDefault="00DE7C7F" w:rsidP="00DE7C7F">
      <w:pPr>
        <w:keepNext/>
        <w:rPr>
          <w:rFonts w:ascii="Arial" w:hAnsi="Arial" w:cs="Arial"/>
        </w:rPr>
      </w:pPr>
    </w:p>
    <w:p w:rsidR="00DE7C7F" w:rsidRPr="004B64B0" w:rsidRDefault="00DE7C7F" w:rsidP="00DE7C7F">
      <w:pPr>
        <w:keepNext/>
        <w:rPr>
          <w:rFonts w:ascii="Arial" w:hAnsi="Arial" w:cs="Arial"/>
        </w:rPr>
      </w:pPr>
    </w:p>
    <w:p w:rsidR="00285D9C" w:rsidRPr="004B64B0" w:rsidRDefault="00BD35DE" w:rsidP="00DC04DF">
      <w:pPr>
        <w:pStyle w:val="TCHeading1"/>
        <w:numPr>
          <w:ilvl w:val="0"/>
          <w:numId w:val="0"/>
        </w:numPr>
        <w:jc w:val="center"/>
        <w:rPr>
          <w:sz w:val="40"/>
          <w:szCs w:val="40"/>
        </w:rPr>
      </w:pPr>
      <w:bookmarkStart w:id="3" w:name="_Toc374628960"/>
      <w:bookmarkStart w:id="4" w:name="_Toc447292565"/>
      <w:bookmarkStart w:id="5" w:name="_Toc459289519"/>
      <w:r w:rsidRPr="004B64B0">
        <w:rPr>
          <w:sz w:val="40"/>
          <w:szCs w:val="40"/>
        </w:rPr>
        <w:t>Blackwell Limited Provider</w:t>
      </w:r>
      <w:r w:rsidR="00DC04DF" w:rsidRPr="004B64B0">
        <w:rPr>
          <w:sz w:val="40"/>
          <w:szCs w:val="40"/>
        </w:rPr>
        <w:t xml:space="preserve"> </w:t>
      </w:r>
      <w:r w:rsidR="00285D9C" w:rsidRPr="004B64B0">
        <w:rPr>
          <w:sz w:val="40"/>
          <w:szCs w:val="40"/>
        </w:rPr>
        <w:t>Agreement</w:t>
      </w:r>
      <w:bookmarkEnd w:id="3"/>
      <w:bookmarkEnd w:id="4"/>
      <w:bookmarkEnd w:id="5"/>
    </w:p>
    <w:p w:rsidR="00285D9C" w:rsidRPr="004B64B0" w:rsidRDefault="00BB3123" w:rsidP="00DE7C7F">
      <w:pPr>
        <w:pStyle w:val="TCMainHeading2"/>
        <w:rPr>
          <w:rFonts w:cs="Arial"/>
        </w:rPr>
      </w:pPr>
      <w:r w:rsidRPr="004B64B0">
        <w:rPr>
          <w:rFonts w:cs="Arial"/>
        </w:rPr>
        <w:t>For the</w:t>
      </w:r>
    </w:p>
    <w:p w:rsidR="00DE7C7F" w:rsidRPr="004B64B0" w:rsidRDefault="00DE7C7F" w:rsidP="00DE7C7F">
      <w:pPr>
        <w:pStyle w:val="TCMainHeading2"/>
        <w:rPr>
          <w:rFonts w:cs="Arial"/>
          <w:b/>
          <w:sz w:val="40"/>
          <w:szCs w:val="40"/>
        </w:rPr>
      </w:pPr>
      <w:r w:rsidRPr="004B64B0">
        <w:rPr>
          <w:rFonts w:cs="Arial"/>
          <w:b/>
          <w:sz w:val="40"/>
          <w:szCs w:val="40"/>
        </w:rPr>
        <w:t>NICE Electronic and Print Content</w:t>
      </w:r>
      <w:r w:rsidRPr="004B64B0">
        <w:rPr>
          <w:rFonts w:cs="Arial"/>
          <w:b/>
          <w:sz w:val="40"/>
          <w:szCs w:val="40"/>
        </w:rPr>
        <w:br/>
        <w:t>Framework Agreement</w:t>
      </w:r>
    </w:p>
    <w:p w:rsidR="00662EDF" w:rsidRPr="004B64B0" w:rsidRDefault="00662EDF" w:rsidP="00DE7C7F">
      <w:pPr>
        <w:pStyle w:val="TCMainHeading2"/>
        <w:rPr>
          <w:rFonts w:cs="Arial"/>
          <w:b/>
          <w:sz w:val="32"/>
          <w:szCs w:val="32"/>
        </w:rPr>
      </w:pPr>
      <w:r w:rsidRPr="004B64B0">
        <w:rPr>
          <w:rFonts w:cs="Arial"/>
          <w:b/>
          <w:sz w:val="32"/>
          <w:szCs w:val="32"/>
        </w:rPr>
        <w:t xml:space="preserve">LOT </w:t>
      </w:r>
      <w:r w:rsidR="00BB2ECD" w:rsidRPr="004B64B0">
        <w:rPr>
          <w:rFonts w:cs="Arial"/>
          <w:b/>
          <w:sz w:val="32"/>
          <w:szCs w:val="32"/>
        </w:rPr>
        <w:t xml:space="preserve">2 </w:t>
      </w:r>
      <w:r w:rsidR="007212CF">
        <w:rPr>
          <w:rFonts w:cs="Arial"/>
          <w:b/>
          <w:sz w:val="32"/>
          <w:szCs w:val="32"/>
        </w:rPr>
        <w:t>AGENT</w:t>
      </w:r>
      <w:bookmarkStart w:id="6" w:name="_GoBack"/>
      <w:bookmarkEnd w:id="6"/>
    </w:p>
    <w:p w:rsidR="0098380A" w:rsidRPr="004B64B0" w:rsidRDefault="0098380A" w:rsidP="00DE7C7F">
      <w:pPr>
        <w:pStyle w:val="TCMainHeading2"/>
        <w:rPr>
          <w:rFonts w:cs="Arial"/>
          <w:b/>
          <w:sz w:val="40"/>
          <w:szCs w:val="40"/>
        </w:rPr>
      </w:pPr>
    </w:p>
    <w:p w:rsidR="0098380A" w:rsidRPr="004B64B0" w:rsidRDefault="0098380A" w:rsidP="00DE7C7F">
      <w:pPr>
        <w:pStyle w:val="TCMainHeading2"/>
        <w:rPr>
          <w:rFonts w:cs="Arial"/>
          <w:b/>
          <w:sz w:val="32"/>
          <w:szCs w:val="32"/>
        </w:rPr>
      </w:pPr>
      <w:r w:rsidRPr="004B64B0">
        <w:rPr>
          <w:rFonts w:cs="Arial"/>
          <w:b/>
          <w:sz w:val="32"/>
          <w:szCs w:val="32"/>
        </w:rPr>
        <w:t>FOR THE PROVISION OF</w:t>
      </w:r>
    </w:p>
    <w:p w:rsidR="00662EDF" w:rsidRPr="004B64B0" w:rsidRDefault="00BD35DE" w:rsidP="00662EDF">
      <w:pPr>
        <w:pStyle w:val="TCMainHeading2"/>
        <w:rPr>
          <w:rFonts w:cs="Arial"/>
          <w:sz w:val="32"/>
          <w:szCs w:val="32"/>
        </w:rPr>
      </w:pPr>
      <w:r w:rsidRPr="004B64B0">
        <w:rPr>
          <w:rFonts w:cs="Arial"/>
          <w:i/>
          <w:sz w:val="32"/>
          <w:szCs w:val="32"/>
        </w:rPr>
        <w:t>Print books</w:t>
      </w:r>
    </w:p>
    <w:bookmarkEnd w:id="0"/>
    <w:bookmarkEnd w:id="1"/>
    <w:bookmarkEnd w:id="2"/>
    <w:p w:rsidR="00C770B9" w:rsidRPr="004B64B0" w:rsidRDefault="00C770B9" w:rsidP="007A3762">
      <w:pPr>
        <w:pStyle w:val="TCMainHeading3"/>
      </w:pPr>
    </w:p>
    <w:p w:rsidR="00F87733" w:rsidRPr="004B64B0" w:rsidRDefault="00F87733">
      <w:pPr>
        <w:rPr>
          <w:rFonts w:ascii="Arial" w:hAnsi="Arial" w:cs="Arial"/>
          <w:b/>
          <w:sz w:val="40"/>
          <w:szCs w:val="40"/>
          <w:lang w:eastAsia="en-US"/>
        </w:rPr>
      </w:pPr>
    </w:p>
    <w:p w:rsidR="00903833" w:rsidRPr="004B64B0" w:rsidRDefault="00903833">
      <w:pPr>
        <w:rPr>
          <w:rFonts w:ascii="Arial" w:hAnsi="Arial" w:cs="Arial"/>
          <w:b/>
          <w:sz w:val="40"/>
          <w:szCs w:val="40"/>
          <w:lang w:eastAsia="en-US"/>
        </w:rPr>
      </w:pPr>
      <w:r w:rsidRPr="004B64B0">
        <w:rPr>
          <w:rFonts w:cs="Arial"/>
        </w:rPr>
        <w:br w:type="page"/>
      </w:r>
    </w:p>
    <w:p w:rsidR="001B1A8F" w:rsidRPr="004B64B0" w:rsidRDefault="001B1A8F" w:rsidP="001B1A8F">
      <w:pPr>
        <w:pStyle w:val="TCMainHeading"/>
        <w:rPr>
          <w:rFonts w:cs="Arial"/>
        </w:rPr>
      </w:pPr>
      <w:r w:rsidRPr="004B64B0">
        <w:rPr>
          <w:rFonts w:cs="Arial"/>
        </w:rPr>
        <w:lastRenderedPageBreak/>
        <w:t>Contents</w:t>
      </w:r>
    </w:p>
    <w:p w:rsidR="00F94552" w:rsidRPr="00F94552" w:rsidRDefault="00D30A68">
      <w:pPr>
        <w:pStyle w:val="TOC1"/>
        <w:tabs>
          <w:tab w:val="right" w:leader="dot" w:pos="9004"/>
        </w:tabs>
        <w:rPr>
          <w:rFonts w:ascii="Arial" w:eastAsiaTheme="minorEastAsia" w:hAnsi="Arial" w:cs="Arial"/>
          <w:noProof/>
          <w:sz w:val="22"/>
          <w:szCs w:val="22"/>
        </w:rPr>
      </w:pPr>
      <w:r w:rsidRPr="004B64B0">
        <w:rPr>
          <w:rFonts w:ascii="Arial" w:hAnsi="Arial" w:cs="Arial"/>
        </w:rPr>
        <w:fldChar w:fldCharType="begin"/>
      </w:r>
      <w:r w:rsidR="001B1A8F" w:rsidRPr="004B64B0">
        <w:rPr>
          <w:rFonts w:ascii="Arial" w:hAnsi="Arial" w:cs="Arial"/>
        </w:rPr>
        <w:instrText xml:space="preserve"> TOC \h \z \t "T&amp;C Heading 1,1,T&amp;C Heading 2,2,T&amp;C Heading 3,3" </w:instrText>
      </w:r>
      <w:r w:rsidRPr="004B64B0">
        <w:rPr>
          <w:rFonts w:ascii="Arial" w:hAnsi="Arial" w:cs="Arial"/>
        </w:rPr>
        <w:fldChar w:fldCharType="separate"/>
      </w:r>
      <w:hyperlink w:anchor="_Toc459289519" w:history="1">
        <w:r w:rsidR="00F94552" w:rsidRPr="00F94552">
          <w:rPr>
            <w:rStyle w:val="Hyperlink"/>
            <w:rFonts w:ascii="Arial" w:hAnsi="Arial" w:cs="Arial"/>
            <w:noProof/>
          </w:rPr>
          <w:t>Blackwell Limited Provider Agreement</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_Toc459289519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1</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0" w:history="1">
        <w:r w:rsidR="00F94552" w:rsidRPr="00F94552">
          <w:rPr>
            <w:rStyle w:val="Hyperlink"/>
            <w:rFonts w:ascii="Arial" w:hAnsi="Arial" w:cs="Arial"/>
            <w:noProof/>
          </w:rPr>
          <w:t>1.</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Introduction</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_Toc459289520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3</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1" w:history="1">
        <w:r w:rsidR="00F94552" w:rsidRPr="00F94552">
          <w:rPr>
            <w:rStyle w:val="Hyperlink"/>
            <w:rFonts w:ascii="Arial" w:hAnsi="Arial" w:cs="Arial"/>
            <w:noProof/>
          </w:rPr>
          <w:t>2.</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Defined Terms</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_Toc459289521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3</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2" w:history="1">
        <w:r w:rsidR="00F94552" w:rsidRPr="00F94552">
          <w:rPr>
            <w:rStyle w:val="Hyperlink"/>
            <w:rFonts w:ascii="Arial" w:hAnsi="Arial" w:cs="Arial"/>
            <w:noProof/>
          </w:rPr>
          <w:t>3.</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Contact Details</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_Toc459289522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3</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3" w:history="1">
        <w:r w:rsidR="00F94552" w:rsidRPr="00F94552">
          <w:rPr>
            <w:rStyle w:val="Hyperlink"/>
            <w:rFonts w:ascii="Arial" w:hAnsi="Arial" w:cs="Arial"/>
            <w:noProof/>
          </w:rPr>
          <w:t>4.</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Service Usage</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_Toc459289523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3</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4" w:history="1">
        <w:r w:rsidR="00F94552" w:rsidRPr="00F94552">
          <w:rPr>
            <w:rStyle w:val="Hyperlink"/>
            <w:rFonts w:ascii="Arial" w:hAnsi="Arial" w:cs="Arial"/>
            <w:noProof/>
          </w:rPr>
          <w:t>5.</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Service Availability</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_Toc459289524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4</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5" w:history="1">
        <w:r w:rsidR="00F94552" w:rsidRPr="00F94552">
          <w:rPr>
            <w:rStyle w:val="Hyperlink"/>
            <w:rFonts w:ascii="Arial" w:hAnsi="Arial" w:cs="Arial"/>
            <w:noProof/>
          </w:rPr>
          <w:t>6.</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Service Access</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_Toc459289525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4</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6" w:history="1">
        <w:r w:rsidR="00F94552" w:rsidRPr="00F94552">
          <w:rPr>
            <w:rStyle w:val="Hyperlink"/>
            <w:rFonts w:ascii="Arial" w:hAnsi="Arial" w:cs="Arial"/>
            <w:noProof/>
          </w:rPr>
          <w:t>7.</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Technical</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_Toc459289526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4</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7" w:history="1">
        <w:r w:rsidR="00F94552" w:rsidRPr="00F94552">
          <w:rPr>
            <w:rStyle w:val="Hyperlink"/>
            <w:rFonts w:ascii="Arial" w:hAnsi="Arial" w:cs="Arial"/>
            <w:noProof/>
          </w:rPr>
          <w:t>8.</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User Support</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_Toc459289527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4</w:t>
        </w:r>
        <w:r w:rsidR="00F94552" w:rsidRPr="00F94552">
          <w:rPr>
            <w:rFonts w:ascii="Arial" w:hAnsi="Arial" w:cs="Arial"/>
            <w:noProof/>
            <w:webHidden/>
          </w:rPr>
          <w:fldChar w:fldCharType="end"/>
        </w:r>
      </w:hyperlink>
    </w:p>
    <w:p w:rsidR="00F94552" w:rsidRPr="00F94552" w:rsidRDefault="007212CF">
      <w:pPr>
        <w:pStyle w:val="TOC1"/>
        <w:tabs>
          <w:tab w:val="left" w:pos="480"/>
          <w:tab w:val="right" w:leader="dot" w:pos="9004"/>
        </w:tabs>
        <w:rPr>
          <w:rFonts w:ascii="Arial" w:eastAsiaTheme="minorEastAsia" w:hAnsi="Arial" w:cs="Arial"/>
          <w:noProof/>
          <w:sz w:val="22"/>
          <w:szCs w:val="22"/>
        </w:rPr>
      </w:pPr>
      <w:hyperlink w:anchor="_Toc459289528" w:history="1">
        <w:r w:rsidR="00F94552" w:rsidRPr="00F94552">
          <w:rPr>
            <w:rStyle w:val="Hyperlink"/>
            <w:rFonts w:ascii="Arial" w:hAnsi="Arial" w:cs="Arial"/>
            <w:noProof/>
          </w:rPr>
          <w:t>9.</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Service Notifications</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_Toc459289528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5</w:t>
        </w:r>
        <w:r w:rsidR="00F94552" w:rsidRPr="00F94552">
          <w:rPr>
            <w:rFonts w:ascii="Arial" w:hAnsi="Arial" w:cs="Arial"/>
            <w:noProof/>
            <w:webHidden/>
          </w:rPr>
          <w:fldChar w:fldCharType="end"/>
        </w:r>
      </w:hyperlink>
    </w:p>
    <w:p w:rsidR="00F94552" w:rsidRPr="00F94552" w:rsidRDefault="007212CF">
      <w:pPr>
        <w:pStyle w:val="TOC1"/>
        <w:tabs>
          <w:tab w:val="left" w:pos="660"/>
          <w:tab w:val="right" w:leader="dot" w:pos="9004"/>
        </w:tabs>
        <w:rPr>
          <w:rFonts w:ascii="Arial" w:eastAsiaTheme="minorEastAsia" w:hAnsi="Arial" w:cs="Arial"/>
          <w:noProof/>
          <w:sz w:val="22"/>
          <w:szCs w:val="22"/>
        </w:rPr>
      </w:pPr>
      <w:hyperlink w:anchor="_Toc459289529" w:history="1">
        <w:r w:rsidR="00F94552" w:rsidRPr="00F94552">
          <w:rPr>
            <w:rStyle w:val="Hyperlink"/>
            <w:rFonts w:ascii="Arial" w:hAnsi="Arial" w:cs="Arial"/>
            <w:noProof/>
          </w:rPr>
          <w:t>10.</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Service Reporting</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_Toc459289529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5</w:t>
        </w:r>
        <w:r w:rsidR="00F94552" w:rsidRPr="00F94552">
          <w:rPr>
            <w:rFonts w:ascii="Arial" w:hAnsi="Arial" w:cs="Arial"/>
            <w:noProof/>
            <w:webHidden/>
          </w:rPr>
          <w:fldChar w:fldCharType="end"/>
        </w:r>
      </w:hyperlink>
    </w:p>
    <w:p w:rsidR="00F94552" w:rsidRPr="00F94552" w:rsidRDefault="007212CF">
      <w:pPr>
        <w:pStyle w:val="TOC1"/>
        <w:tabs>
          <w:tab w:val="left" w:pos="660"/>
          <w:tab w:val="right" w:leader="dot" w:pos="9004"/>
        </w:tabs>
        <w:rPr>
          <w:rFonts w:ascii="Arial" w:eastAsiaTheme="minorEastAsia" w:hAnsi="Arial" w:cs="Arial"/>
          <w:noProof/>
          <w:sz w:val="22"/>
          <w:szCs w:val="22"/>
        </w:rPr>
      </w:pPr>
      <w:hyperlink w:anchor="_Toc459289530" w:history="1">
        <w:r w:rsidR="00F94552" w:rsidRPr="00F94552">
          <w:rPr>
            <w:rStyle w:val="Hyperlink"/>
            <w:rFonts w:ascii="Arial" w:hAnsi="Arial" w:cs="Arial"/>
            <w:noProof/>
          </w:rPr>
          <w:t>11.</w:t>
        </w:r>
        <w:r w:rsidR="00F94552" w:rsidRPr="00F94552">
          <w:rPr>
            <w:rFonts w:ascii="Arial" w:eastAsiaTheme="minorEastAsia" w:hAnsi="Arial" w:cs="Arial"/>
            <w:noProof/>
            <w:sz w:val="22"/>
            <w:szCs w:val="22"/>
          </w:rPr>
          <w:tab/>
        </w:r>
        <w:r w:rsidR="00F94552" w:rsidRPr="00F94552">
          <w:rPr>
            <w:rStyle w:val="Hyperlink"/>
            <w:rFonts w:ascii="Arial" w:hAnsi="Arial" w:cs="Arial"/>
            <w:noProof/>
          </w:rPr>
          <w:t>Measurement and Related Payments</w:t>
        </w:r>
        <w:r w:rsidR="00F94552" w:rsidRPr="00F94552">
          <w:rPr>
            <w:rFonts w:ascii="Arial" w:hAnsi="Arial" w:cs="Arial"/>
            <w:noProof/>
            <w:webHidden/>
          </w:rPr>
          <w:tab/>
        </w:r>
        <w:r w:rsidR="00F94552" w:rsidRPr="00F94552">
          <w:rPr>
            <w:rFonts w:ascii="Arial" w:hAnsi="Arial" w:cs="Arial"/>
            <w:noProof/>
            <w:webHidden/>
          </w:rPr>
          <w:fldChar w:fldCharType="begin"/>
        </w:r>
        <w:r w:rsidR="00F94552" w:rsidRPr="00F94552">
          <w:rPr>
            <w:rFonts w:ascii="Arial" w:hAnsi="Arial" w:cs="Arial"/>
            <w:noProof/>
            <w:webHidden/>
          </w:rPr>
          <w:instrText xml:space="preserve"> PAGEREF _Toc459289530 \h </w:instrText>
        </w:r>
        <w:r w:rsidR="00F94552" w:rsidRPr="00F94552">
          <w:rPr>
            <w:rFonts w:ascii="Arial" w:hAnsi="Arial" w:cs="Arial"/>
            <w:noProof/>
            <w:webHidden/>
          </w:rPr>
        </w:r>
        <w:r w:rsidR="00F94552" w:rsidRPr="00F94552">
          <w:rPr>
            <w:rFonts w:ascii="Arial" w:hAnsi="Arial" w:cs="Arial"/>
            <w:noProof/>
            <w:webHidden/>
          </w:rPr>
          <w:fldChar w:fldCharType="separate"/>
        </w:r>
        <w:r w:rsidR="00F94552" w:rsidRPr="00F94552">
          <w:rPr>
            <w:rFonts w:ascii="Arial" w:hAnsi="Arial" w:cs="Arial"/>
            <w:noProof/>
            <w:webHidden/>
          </w:rPr>
          <w:t>6</w:t>
        </w:r>
        <w:r w:rsidR="00F94552" w:rsidRPr="00F94552">
          <w:rPr>
            <w:rFonts w:ascii="Arial" w:hAnsi="Arial" w:cs="Arial"/>
            <w:noProof/>
            <w:webHidden/>
          </w:rPr>
          <w:fldChar w:fldCharType="end"/>
        </w:r>
      </w:hyperlink>
    </w:p>
    <w:p w:rsidR="001B1A8F" w:rsidRPr="004B64B0" w:rsidRDefault="00D30A68" w:rsidP="00155E4B">
      <w:pPr>
        <w:pStyle w:val="TCBodyNormal"/>
        <w:numPr>
          <w:ilvl w:val="0"/>
          <w:numId w:val="0"/>
        </w:numPr>
        <w:rPr>
          <w:szCs w:val="22"/>
        </w:rPr>
      </w:pPr>
      <w:r w:rsidRPr="004B64B0">
        <w:rPr>
          <w:szCs w:val="24"/>
        </w:rPr>
        <w:fldChar w:fldCharType="end"/>
      </w:r>
    </w:p>
    <w:p w:rsidR="001B1A8F" w:rsidRPr="004B64B0" w:rsidRDefault="001B1A8F" w:rsidP="00155E4B">
      <w:pPr>
        <w:rPr>
          <w:rFonts w:ascii="Arial" w:hAnsi="Arial" w:cs="Arial"/>
          <w:szCs w:val="36"/>
        </w:rPr>
      </w:pPr>
      <w:r w:rsidRPr="004B64B0">
        <w:rPr>
          <w:rFonts w:ascii="Arial" w:hAnsi="Arial" w:cs="Arial"/>
        </w:rPr>
        <w:br w:type="page"/>
      </w:r>
    </w:p>
    <w:p w:rsidR="009D37A7" w:rsidRPr="004B64B0" w:rsidRDefault="009D37A7" w:rsidP="009D37A7">
      <w:pPr>
        <w:pStyle w:val="TCHeading1"/>
      </w:pPr>
      <w:bookmarkStart w:id="7" w:name="_Toc459289520"/>
      <w:bookmarkStart w:id="8" w:name="_Toc374628961"/>
      <w:r w:rsidRPr="004B64B0">
        <w:lastRenderedPageBreak/>
        <w:t>Introduction</w:t>
      </w:r>
      <w:bookmarkEnd w:id="7"/>
    </w:p>
    <w:p w:rsidR="009D37A7" w:rsidRPr="004B64B0" w:rsidRDefault="009D37A7" w:rsidP="009D37A7">
      <w:pPr>
        <w:pStyle w:val="TCBodyafterH1"/>
      </w:pPr>
      <w:r w:rsidRPr="004B64B0">
        <w:t xml:space="preserve">This </w:t>
      </w:r>
      <w:r w:rsidR="00BD35DE" w:rsidRPr="004B64B0">
        <w:t xml:space="preserve">Provider </w:t>
      </w:r>
      <w:r w:rsidRPr="004B64B0">
        <w:t>Agreement must be used when plac</w:t>
      </w:r>
      <w:r w:rsidR="00BD35DE" w:rsidRPr="004B64B0">
        <w:t xml:space="preserve">ing an Order for the supply of print books under </w:t>
      </w:r>
      <w:r w:rsidRPr="004B64B0">
        <w:t>Lot 2 Agents Only of the NICE Electronic and Print Content Framework Agreement.</w:t>
      </w:r>
    </w:p>
    <w:p w:rsidR="009D37A7" w:rsidRPr="004B64B0" w:rsidRDefault="009D37A7" w:rsidP="009D37A7">
      <w:pPr>
        <w:pStyle w:val="TCBodyafterH1"/>
      </w:pPr>
      <w:r w:rsidRPr="004B64B0">
        <w:t>The Provider Agreement</w:t>
      </w:r>
      <w:r w:rsidR="00BD35DE" w:rsidRPr="004B64B0">
        <w:t xml:space="preserve"> is specific to Blackwell Limited’s</w:t>
      </w:r>
      <w:r w:rsidR="005858B9" w:rsidRPr="004B64B0">
        <w:t xml:space="preserve"> </w:t>
      </w:r>
      <w:r w:rsidRPr="004B64B0">
        <w:t xml:space="preserve">supply of </w:t>
      </w:r>
      <w:r w:rsidR="00BD35DE" w:rsidRPr="004B64B0">
        <w:t>print books</w:t>
      </w:r>
      <w:r w:rsidR="005858B9" w:rsidRPr="004B64B0">
        <w:t xml:space="preserve"> under Lot 2 Agents Only</w:t>
      </w:r>
      <w:r w:rsidRPr="004B64B0">
        <w:t>. It must be used in conjunction with the “Order Terms</w:t>
      </w:r>
      <w:r w:rsidR="00DC72B3" w:rsidRPr="004B64B0">
        <w:t xml:space="preserve"> &amp; Conditions” and any Annexes to form the whole Agreement.</w:t>
      </w:r>
    </w:p>
    <w:p w:rsidR="009D37A7" w:rsidRPr="004B64B0" w:rsidRDefault="009D37A7" w:rsidP="005858B9">
      <w:pPr>
        <w:pStyle w:val="TCBodyafterH1"/>
      </w:pPr>
      <w:r w:rsidRPr="004B64B0">
        <w:t>All terms in this Provider Agreement must not be altered and are non-negotiable</w:t>
      </w:r>
      <w:r w:rsidR="005858B9" w:rsidRPr="004B64B0">
        <w:t>.</w:t>
      </w:r>
      <w:r w:rsidRPr="004B64B0">
        <w:t xml:space="preserve"> Where additional terms are agreed these should be set out in Annex SEVEN: “Additional Terms” of the “Order Terms &amp; Conditions”. These additional terms must not conflict with, or </w:t>
      </w:r>
      <w:r w:rsidR="005858B9" w:rsidRPr="004B64B0">
        <w:t>materially change, the terms in:</w:t>
      </w:r>
    </w:p>
    <w:p w:rsidR="009D37A7" w:rsidRPr="004B64B0" w:rsidRDefault="009D37A7" w:rsidP="00CC4695">
      <w:pPr>
        <w:pStyle w:val="TCBodyafterH2"/>
      </w:pPr>
      <w:r w:rsidRPr="004B64B0">
        <w:t xml:space="preserve">the “Terms and Conditions of Contract for NICE Electronic and Print Content”  and any Annexes”; </w:t>
      </w:r>
      <w:r w:rsidR="005858B9" w:rsidRPr="004B64B0">
        <w:t>AND</w:t>
      </w:r>
    </w:p>
    <w:p w:rsidR="009D37A7" w:rsidRPr="004B64B0" w:rsidRDefault="009D37A7" w:rsidP="00CC4695">
      <w:pPr>
        <w:pStyle w:val="TCBodyafterH2"/>
      </w:pPr>
      <w:r w:rsidRPr="004B64B0">
        <w:t>the “Order Terms &amp; Conditions” and any Annexes,</w:t>
      </w:r>
      <w:r w:rsidR="005858B9" w:rsidRPr="004B64B0">
        <w:t xml:space="preserve"> AND</w:t>
      </w:r>
      <w:r w:rsidRPr="004B64B0">
        <w:t xml:space="preserve"> </w:t>
      </w:r>
    </w:p>
    <w:p w:rsidR="009D37A7" w:rsidRPr="004B64B0" w:rsidRDefault="009D37A7" w:rsidP="00CC4695">
      <w:pPr>
        <w:pStyle w:val="TCBodyafterH2"/>
      </w:pPr>
      <w:r w:rsidRPr="004B64B0">
        <w:t>this Provider Agreement.</w:t>
      </w:r>
    </w:p>
    <w:p w:rsidR="001A71E8" w:rsidRPr="004B64B0" w:rsidRDefault="001A71E8" w:rsidP="00F87733">
      <w:pPr>
        <w:pStyle w:val="TCHeading1"/>
        <w:ind w:left="851" w:hanging="851"/>
      </w:pPr>
      <w:bookmarkStart w:id="9" w:name="_Toc459289521"/>
      <w:r w:rsidRPr="004B64B0">
        <w:t>D</w:t>
      </w:r>
      <w:r w:rsidR="005D3A69" w:rsidRPr="004B64B0">
        <w:t>efin</w:t>
      </w:r>
      <w:r w:rsidR="00A13ADA" w:rsidRPr="004B64B0">
        <w:t>ed Terms</w:t>
      </w:r>
      <w:bookmarkEnd w:id="8"/>
      <w:bookmarkEnd w:id="9"/>
    </w:p>
    <w:p w:rsidR="001A71E8" w:rsidRPr="004B64B0" w:rsidRDefault="006D661D" w:rsidP="00285D9C">
      <w:pPr>
        <w:pStyle w:val="TCBodyafterH1"/>
      </w:pPr>
      <w:r w:rsidRPr="004B64B0">
        <w:t xml:space="preserve">In this Agreement the words and expressions below will be interpreted to have the meanings adjacent to them: The following </w:t>
      </w:r>
      <w:r w:rsidR="00026274" w:rsidRPr="004B64B0">
        <w:t>definitions</w:t>
      </w:r>
      <w:r w:rsidR="002C3D75" w:rsidRPr="004B64B0">
        <w:t xml:space="preserve"> </w:t>
      </w:r>
      <w:r w:rsidRPr="004B64B0">
        <w:t>should be read in conjunction with th</w:t>
      </w:r>
      <w:r w:rsidR="002C3D75" w:rsidRPr="004B64B0">
        <w:t>ose</w:t>
      </w:r>
      <w:r w:rsidRPr="004B64B0">
        <w:t xml:space="preserve"> set out in</w:t>
      </w:r>
      <w:r w:rsidR="007A122C" w:rsidRPr="004B64B0">
        <w:t xml:space="preserve"> the “Order Terms &amp; Conditions”:</w:t>
      </w:r>
      <w:r w:rsidR="00FE27C9">
        <w:br/>
      </w:r>
      <w:r w:rsidR="00FE27C9">
        <w:br/>
        <w:t>[</w:t>
      </w:r>
      <w:r w:rsidR="00FE27C9" w:rsidRPr="00E66B06">
        <w:rPr>
          <w:highlight w:val="yellow"/>
        </w:rPr>
        <w:t>Guidance Note to Purchasing Authorities and Providers: Enter text “Not Used” if no defin</w:t>
      </w:r>
      <w:r w:rsidR="00FE27C9">
        <w:rPr>
          <w:highlight w:val="yellow"/>
        </w:rPr>
        <w:t>itions</w:t>
      </w:r>
      <w:r w:rsidR="00FE27C9" w:rsidRPr="00E66B06">
        <w:rPr>
          <w:highlight w:val="yellow"/>
        </w:rPr>
        <w:t xml:space="preserve"> to be added</w:t>
      </w:r>
      <w:r w:rsidR="00FE27C9">
        <w:rPr>
          <w:highlight w:val="yellow"/>
        </w:rPr>
        <w:t xml:space="preserve"> in this section</w:t>
      </w:r>
      <w:r w:rsidR="00FE27C9" w:rsidRPr="00E66B06">
        <w:rPr>
          <w:highlight w:val="yellow"/>
        </w:rPr>
        <w:t>. The clause numbering should remain the same as the original document.]</w:t>
      </w:r>
    </w:p>
    <w:p w:rsidR="00CC1E9D" w:rsidRPr="004B64B0" w:rsidRDefault="00CC1E9D" w:rsidP="00CC1E9D">
      <w:pPr>
        <w:pStyle w:val="TCHeading1"/>
        <w:ind w:left="851" w:hanging="851"/>
      </w:pPr>
      <w:bookmarkStart w:id="10" w:name="_Toc459289522"/>
      <w:r w:rsidRPr="004B64B0">
        <w:t>Contact Details</w:t>
      </w:r>
      <w:bookmarkEnd w:id="10"/>
    </w:p>
    <w:p w:rsidR="001E417C" w:rsidRPr="004B64B0" w:rsidRDefault="001E417C" w:rsidP="00285D9C">
      <w:pPr>
        <w:pStyle w:val="TCBodyafterH1"/>
        <w:numPr>
          <w:ilvl w:val="0"/>
          <w:numId w:val="0"/>
        </w:numPr>
        <w:ind w:left="858"/>
      </w:pPr>
      <w:r w:rsidRPr="004B64B0">
        <w:t>Name</w:t>
      </w:r>
      <w:r w:rsidR="003F6A29" w:rsidRPr="004B64B0">
        <w:tab/>
      </w:r>
      <w:r w:rsidR="003F6A29" w:rsidRPr="004B64B0">
        <w:tab/>
        <w:t>Tim Kilmartin</w:t>
      </w:r>
    </w:p>
    <w:p w:rsidR="001E417C" w:rsidRPr="004B64B0" w:rsidRDefault="001E417C" w:rsidP="00285D9C">
      <w:pPr>
        <w:pStyle w:val="TCBodyafterH1"/>
        <w:numPr>
          <w:ilvl w:val="0"/>
          <w:numId w:val="0"/>
        </w:numPr>
      </w:pPr>
      <w:r w:rsidRPr="004B64B0">
        <w:tab/>
        <w:t>Job Title</w:t>
      </w:r>
      <w:r w:rsidR="003F6A29" w:rsidRPr="004B64B0">
        <w:tab/>
      </w:r>
      <w:r w:rsidR="003F6A29" w:rsidRPr="004B64B0">
        <w:tab/>
        <w:t xml:space="preserve">Head of Corporate, Professional and Institutional Sales </w:t>
      </w:r>
    </w:p>
    <w:p w:rsidR="001E417C" w:rsidRPr="004B64B0" w:rsidRDefault="001E417C" w:rsidP="00285D9C">
      <w:pPr>
        <w:pStyle w:val="TCBodyafterH1"/>
        <w:numPr>
          <w:ilvl w:val="0"/>
          <w:numId w:val="0"/>
        </w:numPr>
      </w:pPr>
      <w:r w:rsidRPr="004B64B0">
        <w:tab/>
        <w:t>Address</w:t>
      </w:r>
      <w:r w:rsidR="003F6A29" w:rsidRPr="004B64B0">
        <w:tab/>
      </w:r>
      <w:r w:rsidR="003F6A29" w:rsidRPr="004B64B0">
        <w:tab/>
        <w:t>50 Broad Street, Oxford OX1 3BQ</w:t>
      </w:r>
    </w:p>
    <w:p w:rsidR="001E417C" w:rsidRPr="004B64B0" w:rsidRDefault="001E417C" w:rsidP="00285D9C">
      <w:pPr>
        <w:pStyle w:val="TCBodyafterH1"/>
        <w:numPr>
          <w:ilvl w:val="0"/>
          <w:numId w:val="0"/>
        </w:numPr>
      </w:pPr>
      <w:r w:rsidRPr="004B64B0">
        <w:tab/>
        <w:t>Telephone</w:t>
      </w:r>
      <w:r w:rsidR="003F6A29" w:rsidRPr="004B64B0">
        <w:tab/>
      </w:r>
      <w:r w:rsidR="003F6A29" w:rsidRPr="004B64B0">
        <w:tab/>
        <w:t>07766 602475</w:t>
      </w:r>
    </w:p>
    <w:p w:rsidR="001E417C" w:rsidRPr="004B64B0" w:rsidRDefault="001E417C" w:rsidP="00285D9C">
      <w:pPr>
        <w:pStyle w:val="TCBodyafterH1"/>
        <w:numPr>
          <w:ilvl w:val="0"/>
          <w:numId w:val="0"/>
        </w:numPr>
      </w:pPr>
      <w:r w:rsidRPr="004B64B0">
        <w:tab/>
        <w:t>Facsimile</w:t>
      </w:r>
      <w:r w:rsidR="003F6A29" w:rsidRPr="004B64B0">
        <w:tab/>
      </w:r>
      <w:r w:rsidR="003F6A29" w:rsidRPr="004B64B0">
        <w:tab/>
        <w:t>n/a</w:t>
      </w:r>
    </w:p>
    <w:p w:rsidR="001E417C" w:rsidRPr="004B64B0" w:rsidRDefault="001E417C" w:rsidP="00285D9C">
      <w:pPr>
        <w:pStyle w:val="TCBodyafterH1"/>
        <w:numPr>
          <w:ilvl w:val="0"/>
          <w:numId w:val="0"/>
        </w:numPr>
      </w:pPr>
      <w:r w:rsidRPr="004B64B0">
        <w:tab/>
        <w:t>Email</w:t>
      </w:r>
      <w:r w:rsidRPr="004B64B0">
        <w:tab/>
      </w:r>
      <w:r w:rsidR="003F6A29" w:rsidRPr="004B64B0">
        <w:tab/>
      </w:r>
      <w:hyperlink r:id="rId10" w:history="1">
        <w:r w:rsidR="003F6A29" w:rsidRPr="004B64B0">
          <w:rPr>
            <w:rStyle w:val="Hyperlink"/>
          </w:rPr>
          <w:t>tim.kilmartin@blackwell.co.uk</w:t>
        </w:r>
      </w:hyperlink>
    </w:p>
    <w:p w:rsidR="003F6A29" w:rsidRDefault="003F6A29" w:rsidP="00285D9C">
      <w:pPr>
        <w:pStyle w:val="TCBodyafterH1"/>
        <w:numPr>
          <w:ilvl w:val="0"/>
          <w:numId w:val="0"/>
        </w:numPr>
      </w:pPr>
    </w:p>
    <w:p w:rsidR="00025295" w:rsidRPr="004B64B0" w:rsidRDefault="00025295" w:rsidP="00025295">
      <w:pPr>
        <w:pStyle w:val="TCHeading1"/>
      </w:pPr>
      <w:bookmarkStart w:id="11" w:name="_Toc459289523"/>
      <w:r>
        <w:t>Service Usage</w:t>
      </w:r>
      <w:bookmarkEnd w:id="11"/>
    </w:p>
    <w:p w:rsidR="00025295" w:rsidRDefault="00025295" w:rsidP="00285D9C">
      <w:pPr>
        <w:pStyle w:val="TCBodyafterH1"/>
        <w:numPr>
          <w:ilvl w:val="0"/>
          <w:numId w:val="0"/>
        </w:numPr>
      </w:pPr>
      <w:r>
        <w:lastRenderedPageBreak/>
        <w:t>Not used.</w:t>
      </w:r>
    </w:p>
    <w:p w:rsidR="00025295" w:rsidRPr="004B64B0" w:rsidRDefault="00025295" w:rsidP="00285D9C">
      <w:pPr>
        <w:pStyle w:val="TCBodyafterH1"/>
        <w:numPr>
          <w:ilvl w:val="0"/>
          <w:numId w:val="0"/>
        </w:numPr>
      </w:pPr>
    </w:p>
    <w:p w:rsidR="0039748D" w:rsidRPr="004B64B0" w:rsidRDefault="0039748D" w:rsidP="0039748D">
      <w:pPr>
        <w:pStyle w:val="TCHeading1"/>
      </w:pPr>
      <w:bookmarkStart w:id="12" w:name="_Toc459289524"/>
      <w:r w:rsidRPr="004B64B0">
        <w:t>Service Availability</w:t>
      </w:r>
      <w:bookmarkEnd w:id="12"/>
    </w:p>
    <w:p w:rsidR="00752E4D" w:rsidRPr="004B64B0" w:rsidRDefault="00A62A2E" w:rsidP="00F36664">
      <w:pPr>
        <w:pStyle w:val="TCBodyafterH1"/>
      </w:pPr>
      <w:r w:rsidRPr="004B64B0">
        <w:t xml:space="preserve">The </w:t>
      </w:r>
      <w:r w:rsidR="00F56B63" w:rsidRPr="004B64B0">
        <w:t xml:space="preserve">Provider </w:t>
      </w:r>
      <w:r w:rsidR="00752E4D" w:rsidRPr="004B64B0">
        <w:t>will</w:t>
      </w:r>
      <w:r w:rsidR="009D5E45" w:rsidRPr="004B64B0">
        <w:t>:</w:t>
      </w:r>
    </w:p>
    <w:p w:rsidR="00F36664" w:rsidRPr="004B64B0" w:rsidRDefault="009D5E45" w:rsidP="001F72C0">
      <w:pPr>
        <w:pStyle w:val="TCBodyafterH2"/>
      </w:pPr>
      <w:r w:rsidRPr="004B64B0">
        <w:t>p</w:t>
      </w:r>
      <w:r w:rsidR="00752E4D" w:rsidRPr="004B64B0">
        <w:t xml:space="preserve">rovide </w:t>
      </w:r>
      <w:r w:rsidRPr="004B64B0">
        <w:t>notification of an Incident</w:t>
      </w:r>
      <w:r w:rsidR="001F72C0" w:rsidRPr="004B64B0">
        <w:t>: A</w:t>
      </w:r>
      <w:r w:rsidR="001F72C0" w:rsidRPr="004B64B0">
        <w:rPr>
          <w:color w:val="000000"/>
        </w:rPr>
        <w:t xml:space="preserve">ny incident occurring that may inhibit the essential elements of our service, either online or offline, will be notified to customers within 2 hours of the incident occurring, with a note of expected time to reach a resolution. </w:t>
      </w:r>
    </w:p>
    <w:p w:rsidR="003F6A29" w:rsidRPr="004B64B0" w:rsidRDefault="003F6A29" w:rsidP="003F6A29">
      <w:pPr>
        <w:pStyle w:val="TCBodyafterH2"/>
        <w:numPr>
          <w:ilvl w:val="0"/>
          <w:numId w:val="0"/>
        </w:numPr>
        <w:ind w:left="851"/>
      </w:pPr>
    </w:p>
    <w:p w:rsidR="00025295" w:rsidRDefault="00025295" w:rsidP="00025295">
      <w:pPr>
        <w:pStyle w:val="TCHeading1"/>
      </w:pPr>
      <w:bookmarkStart w:id="13" w:name="_Toc459289525"/>
      <w:r>
        <w:t>Service Access</w:t>
      </w:r>
      <w:bookmarkEnd w:id="13"/>
    </w:p>
    <w:p w:rsidR="00025295" w:rsidRDefault="00025295" w:rsidP="00367FB8">
      <w:pPr>
        <w:pStyle w:val="TCBodyafterH1"/>
        <w:numPr>
          <w:ilvl w:val="0"/>
          <w:numId w:val="0"/>
        </w:numPr>
      </w:pPr>
      <w:r>
        <w:t>Not used.</w:t>
      </w:r>
    </w:p>
    <w:p w:rsidR="00025295" w:rsidRDefault="00025295" w:rsidP="00025295">
      <w:pPr>
        <w:pStyle w:val="TCHeading1"/>
      </w:pPr>
      <w:bookmarkStart w:id="14" w:name="_Toc459289526"/>
      <w:r>
        <w:t>Technical</w:t>
      </w:r>
      <w:bookmarkEnd w:id="14"/>
    </w:p>
    <w:p w:rsidR="00025295" w:rsidRDefault="00025295" w:rsidP="00C25C6D">
      <w:pPr>
        <w:pStyle w:val="TCBodyafterH1"/>
        <w:numPr>
          <w:ilvl w:val="0"/>
          <w:numId w:val="0"/>
        </w:numPr>
      </w:pPr>
      <w:r>
        <w:t>Not used.</w:t>
      </w:r>
    </w:p>
    <w:p w:rsidR="00E308A3" w:rsidRPr="004B64B0" w:rsidRDefault="00285D9C" w:rsidP="00285D9C">
      <w:pPr>
        <w:pStyle w:val="TCHeading1"/>
      </w:pPr>
      <w:bookmarkStart w:id="15" w:name="_Toc459289527"/>
      <w:r w:rsidRPr="004B64B0">
        <w:t>User Support</w:t>
      </w:r>
      <w:bookmarkEnd w:id="15"/>
    </w:p>
    <w:p w:rsidR="00A62A2E" w:rsidRPr="004B64B0" w:rsidRDefault="00A62A2E" w:rsidP="00A62A2E">
      <w:pPr>
        <w:pStyle w:val="TCBodyafterH1"/>
      </w:pPr>
      <w:r w:rsidRPr="004B64B0">
        <w:t>The Provider will:</w:t>
      </w:r>
    </w:p>
    <w:p w:rsidR="00E308A3" w:rsidRPr="004B64B0" w:rsidRDefault="0009072A" w:rsidP="0009072A">
      <w:pPr>
        <w:pStyle w:val="TCBodyafterH2"/>
      </w:pPr>
      <w:r w:rsidRPr="004B64B0">
        <w:rPr>
          <w:color w:val="000000"/>
        </w:rPr>
        <w:t>provide a generic helpdesk support email address of hello@Blackwell.co.uk, as well as a free phone telephone number 0800 151 2612. Help can also be sought on our website Blackwells.co.uk</w:t>
      </w:r>
    </w:p>
    <w:p w:rsidR="00F248F1" w:rsidRPr="004B64B0" w:rsidRDefault="00F248F1" w:rsidP="00F248F1">
      <w:pPr>
        <w:pStyle w:val="TCBodyafterH2"/>
        <w:numPr>
          <w:ilvl w:val="0"/>
          <w:numId w:val="0"/>
        </w:numPr>
        <w:ind w:left="851"/>
      </w:pPr>
      <w:r w:rsidRPr="004B64B0">
        <w:rPr>
          <w:color w:val="000000"/>
        </w:rPr>
        <w:t>In addition;</w:t>
      </w:r>
    </w:p>
    <w:p w:rsidR="00424162" w:rsidRPr="004B64B0" w:rsidRDefault="00424162" w:rsidP="00424162">
      <w:pPr>
        <w:pStyle w:val="TCBodyafterH2"/>
      </w:pPr>
      <w:r w:rsidRPr="004B64B0">
        <w:t xml:space="preserve">Complaints made by customers using the Framework will be escalated to senior staff, and Blackwell’s will ensure a resolution is reached that is fully satisfactory for the customer. </w:t>
      </w:r>
    </w:p>
    <w:p w:rsidR="00424162" w:rsidRPr="004B64B0" w:rsidRDefault="00424162" w:rsidP="00424162">
      <w:pPr>
        <w:pStyle w:val="TCBodyafterH2"/>
      </w:pPr>
      <w:r w:rsidRPr="004B64B0">
        <w:t>In the event of a complaint Blackwell’s will do the following:</w:t>
      </w:r>
    </w:p>
    <w:p w:rsidR="00424162" w:rsidRPr="004B64B0" w:rsidRDefault="00424162" w:rsidP="00424162">
      <w:pPr>
        <w:pStyle w:val="TCBodyafterH2"/>
        <w:numPr>
          <w:ilvl w:val="0"/>
          <w:numId w:val="0"/>
        </w:numPr>
        <w:ind w:left="1985"/>
      </w:pPr>
      <w:r w:rsidRPr="004B64B0">
        <w:t xml:space="preserve">1) Immediately acknowledge the complaint. If the complaint has been made by email, then our acknowledgement should be both by email and by telephone within one day of receipt. </w:t>
      </w:r>
    </w:p>
    <w:p w:rsidR="00424162" w:rsidRPr="004B64B0" w:rsidRDefault="00424162" w:rsidP="00424162">
      <w:pPr>
        <w:pStyle w:val="TCBodyafterH2"/>
        <w:numPr>
          <w:ilvl w:val="0"/>
          <w:numId w:val="0"/>
        </w:numPr>
        <w:ind w:left="1985"/>
      </w:pPr>
      <w:r w:rsidRPr="004B64B0">
        <w:t xml:space="preserve">2) Take any possible action to resolve the issue straight away, should the complaint be in regards to an ongoing issue, keeping </w:t>
      </w:r>
      <w:r w:rsidRPr="004B64B0">
        <w:lastRenderedPageBreak/>
        <w:t>the customer aware of progress and giving them options where necessary, within 2 working days.</w:t>
      </w:r>
    </w:p>
    <w:p w:rsidR="00424162" w:rsidRPr="004B64B0" w:rsidRDefault="00424162" w:rsidP="00424162">
      <w:pPr>
        <w:pStyle w:val="TCBodyafterH2"/>
        <w:numPr>
          <w:ilvl w:val="0"/>
          <w:numId w:val="0"/>
        </w:numPr>
        <w:ind w:left="1985"/>
      </w:pPr>
      <w:r w:rsidRPr="004B64B0">
        <w:t xml:space="preserve">3) Provide a formal response, including a summary of the cause of the issue, and confirmation of our remedial action. </w:t>
      </w:r>
    </w:p>
    <w:p w:rsidR="00424162" w:rsidRPr="004B64B0" w:rsidRDefault="00424162" w:rsidP="00424162">
      <w:pPr>
        <w:pStyle w:val="TCBodyafterH2"/>
        <w:numPr>
          <w:ilvl w:val="0"/>
          <w:numId w:val="0"/>
        </w:numPr>
        <w:ind w:left="1985"/>
      </w:pPr>
      <w:r w:rsidRPr="004B64B0">
        <w:t>4) Discuss the resolution with the customer in a meeting or otherwise, to discuss corrective action taken, and to ensure they are satisfied with the outcome.</w:t>
      </w:r>
    </w:p>
    <w:p w:rsidR="00424162" w:rsidRPr="004B64B0" w:rsidRDefault="00424162" w:rsidP="00424162">
      <w:pPr>
        <w:pStyle w:val="TCBodyafterH2"/>
      </w:pPr>
      <w:r w:rsidRPr="004B64B0">
        <w:t xml:space="preserve">General enquiries will be responded to within 1 working day of receipt. </w:t>
      </w:r>
    </w:p>
    <w:p w:rsidR="00424162" w:rsidRPr="004B64B0" w:rsidRDefault="00424162" w:rsidP="00424162">
      <w:pPr>
        <w:pStyle w:val="TCBodyafterH2"/>
      </w:pPr>
      <w:r w:rsidRPr="004B64B0">
        <w:t>95% of general enquiries will be fully resolved, responded to, and closed within 5 working days, and 100% within 10 working days.</w:t>
      </w:r>
    </w:p>
    <w:p w:rsidR="00424162" w:rsidRPr="004B64B0" w:rsidRDefault="00424162" w:rsidP="00424162">
      <w:pPr>
        <w:pStyle w:val="TCBodyafterH2"/>
      </w:pPr>
      <w:r w:rsidRPr="004B64B0">
        <w:t xml:space="preserve">Our order management system gives clear visibility to us of any duplication of content purchased from within the same NHS organisation, and we can therefore notify customers of such duplication where required. </w:t>
      </w:r>
    </w:p>
    <w:p w:rsidR="00424162" w:rsidRPr="004B64B0" w:rsidRDefault="00424162" w:rsidP="00424162">
      <w:pPr>
        <w:pStyle w:val="TCBodyafterH2"/>
      </w:pPr>
      <w:r w:rsidRPr="004B64B0">
        <w:t>Blackwell</w:t>
      </w:r>
      <w:r w:rsidR="00B01670" w:rsidRPr="004B64B0">
        <w:t xml:space="preserve">’s routinely provide full </w:t>
      </w:r>
      <w:r w:rsidRPr="004B64B0">
        <w:t>training to a</w:t>
      </w:r>
      <w:r w:rsidR="00F248F1" w:rsidRPr="004B64B0">
        <w:t>ny NHS staff purchasing from Blackwell’s</w:t>
      </w:r>
      <w:r w:rsidRPr="004B64B0">
        <w:t>, and will provide such training on site in the library when required, or remotely via telecommunications. We are able to provide training and support prior to and at set-up of service, or at any other time required, at short notice, to any part of the UK. Blackwell’s have four Senior Sales Development Managers providing support to our NHS customers, and can be made available for training. NHS staff can contact their usual Account Manager to arrange training and support.</w:t>
      </w:r>
    </w:p>
    <w:p w:rsidR="001914A5" w:rsidRPr="004B64B0" w:rsidRDefault="001914A5" w:rsidP="00367FB8">
      <w:pPr>
        <w:pStyle w:val="TCBodyafterH1"/>
        <w:numPr>
          <w:ilvl w:val="0"/>
          <w:numId w:val="0"/>
        </w:numPr>
      </w:pPr>
    </w:p>
    <w:p w:rsidR="00025295" w:rsidRDefault="00025295" w:rsidP="00025295">
      <w:pPr>
        <w:pStyle w:val="TCHeading1"/>
      </w:pPr>
      <w:bookmarkStart w:id="16" w:name="_Toc459289528"/>
      <w:r>
        <w:t>Service Notifications</w:t>
      </w:r>
      <w:bookmarkEnd w:id="16"/>
    </w:p>
    <w:p w:rsidR="00025295" w:rsidRPr="004B64B0" w:rsidRDefault="00025295" w:rsidP="00367FB8">
      <w:pPr>
        <w:pStyle w:val="TCBodyafterH1"/>
        <w:numPr>
          <w:ilvl w:val="0"/>
          <w:numId w:val="0"/>
        </w:numPr>
      </w:pPr>
      <w:r>
        <w:t>Not used</w:t>
      </w:r>
    </w:p>
    <w:p w:rsidR="00285D9C" w:rsidRDefault="00285D9C" w:rsidP="00285D9C">
      <w:pPr>
        <w:pStyle w:val="TCHeading1"/>
      </w:pPr>
      <w:bookmarkStart w:id="17" w:name="_Toc459289529"/>
      <w:r w:rsidRPr="004B64B0">
        <w:t>Service Reporting</w:t>
      </w:r>
      <w:bookmarkEnd w:id="17"/>
    </w:p>
    <w:p w:rsidR="00A62A2E" w:rsidRPr="004B64B0" w:rsidRDefault="00A62A2E" w:rsidP="00CD0367">
      <w:pPr>
        <w:pStyle w:val="TCBodyafterH1"/>
        <w:numPr>
          <w:ilvl w:val="0"/>
          <w:numId w:val="0"/>
        </w:numPr>
        <w:ind w:left="858"/>
      </w:pPr>
    </w:p>
    <w:p w:rsidR="00CD0367" w:rsidRPr="004B64B0" w:rsidRDefault="00CD0367" w:rsidP="00CD0367">
      <w:pPr>
        <w:pStyle w:val="TCBodyafterH1"/>
      </w:pPr>
      <w:r w:rsidRPr="004B64B0">
        <w:t>Print books will be recalled where material within a title is found, upon reasonable grounds, by its publisher or</w:t>
      </w:r>
      <w:r w:rsidR="00F248F1" w:rsidRPr="004B64B0">
        <w:t xml:space="preserve"> a</w:t>
      </w:r>
      <w:r w:rsidRPr="004B64B0">
        <w:t xml:space="preserve"> customer to be erroneous to an extent that its function is compromised, infringes copyright or is defamatory, obscene, unlawful or otherwise objectionable. Recalls of titles made by publishers will be collected at no cost to the customer either for full refund, or replacement by a corrected issue.</w:t>
      </w:r>
    </w:p>
    <w:p w:rsidR="00CD0367" w:rsidRPr="004B64B0" w:rsidRDefault="00CD0367" w:rsidP="00CD0367">
      <w:pPr>
        <w:pStyle w:val="TCBodyafterH1"/>
      </w:pPr>
      <w:r w:rsidRPr="004B64B0">
        <w:lastRenderedPageBreak/>
        <w:t>If publication of a print book title is cancelled or withdrawn while orders are outstanding for customers, those customers will be informed within 2 days.</w:t>
      </w:r>
    </w:p>
    <w:p w:rsidR="00CD0367" w:rsidRPr="004B64B0" w:rsidRDefault="00CD0367" w:rsidP="00CD0367">
      <w:pPr>
        <w:pStyle w:val="TCBodyafterH1"/>
      </w:pPr>
      <w:r w:rsidRPr="004B64B0">
        <w:t>Blackwell’s will attend quarterly and annual contract and service review meetings as requested or at an agreed frequency. Blackwell’s maintains a programme of regular service meetings with buying authorities using its services under the Framework.</w:t>
      </w:r>
    </w:p>
    <w:p w:rsidR="00CD0367" w:rsidRPr="004B64B0" w:rsidRDefault="00CD0367" w:rsidP="00CD0367">
      <w:pPr>
        <w:pStyle w:val="TCBodyafterH1"/>
      </w:pPr>
      <w:r w:rsidRPr="004B64B0">
        <w:t xml:space="preserve">Blackwell’s will provide monthly, quarterly and annual contract management information reports and service reports as required </w:t>
      </w:r>
    </w:p>
    <w:p w:rsidR="003303DB" w:rsidRDefault="003303DB" w:rsidP="00CD0367">
      <w:pPr>
        <w:pStyle w:val="TCBodyafterH1"/>
        <w:numPr>
          <w:ilvl w:val="0"/>
          <w:numId w:val="0"/>
        </w:numPr>
        <w:ind w:left="858"/>
      </w:pPr>
    </w:p>
    <w:p w:rsidR="00025295" w:rsidRPr="004B64B0" w:rsidRDefault="00025295" w:rsidP="00025295">
      <w:pPr>
        <w:pStyle w:val="TCHeading1"/>
      </w:pPr>
      <w:bookmarkStart w:id="18" w:name="_Toc459289530"/>
      <w:r>
        <w:t>Measurement and Related Payments</w:t>
      </w:r>
      <w:bookmarkEnd w:id="18"/>
    </w:p>
    <w:p w:rsidR="003303DB" w:rsidRPr="00367FB8" w:rsidRDefault="00025295" w:rsidP="00367FB8">
      <w:pPr>
        <w:pStyle w:val="TCBodyafterH1"/>
        <w:numPr>
          <w:ilvl w:val="0"/>
          <w:numId w:val="0"/>
        </w:numPr>
        <w:ind w:left="858"/>
      </w:pPr>
      <w:r>
        <w:t>Not used.</w:t>
      </w:r>
    </w:p>
    <w:p w:rsidR="00FB79B1" w:rsidRDefault="00FB79B1" w:rsidP="005628BB">
      <w:pPr>
        <w:pStyle w:val="TCHeading1"/>
        <w:numPr>
          <w:ilvl w:val="0"/>
          <w:numId w:val="0"/>
        </w:numPr>
      </w:pPr>
    </w:p>
    <w:p w:rsidR="00FB79B1" w:rsidRDefault="00FB79B1" w:rsidP="00FB79B1">
      <w:pPr>
        <w:pStyle w:val="Paragraphnonumbers"/>
      </w:pPr>
    </w:p>
    <w:p w:rsidR="0039748D" w:rsidRPr="00AD3988" w:rsidRDefault="0039748D" w:rsidP="00CC4695">
      <w:pPr>
        <w:pStyle w:val="TCBodyafterH1"/>
        <w:numPr>
          <w:ilvl w:val="0"/>
          <w:numId w:val="0"/>
        </w:numPr>
        <w:ind w:left="858"/>
      </w:pPr>
    </w:p>
    <w:sectPr w:rsidR="0039748D" w:rsidRPr="00AD3988" w:rsidSect="0034397B">
      <w:footerReference w:type="default" r:id="rId11"/>
      <w:footerReference w:type="first" r:id="rId1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7A" w:rsidRDefault="00DB1F7A">
      <w:r>
        <w:separator/>
      </w:r>
    </w:p>
  </w:endnote>
  <w:endnote w:type="continuationSeparator" w:id="0">
    <w:p w:rsidR="00DB1F7A" w:rsidRDefault="00DB1F7A">
      <w:r>
        <w:continuationSeparator/>
      </w:r>
    </w:p>
  </w:endnote>
  <w:endnote w:type="continuationNotice" w:id="1">
    <w:p w:rsidR="00DB1F7A" w:rsidRDefault="00DB1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F94552">
      <w:rPr>
        <w:rFonts w:ascii="Arial" w:hAnsi="Arial"/>
        <w:sz w:val="16"/>
      </w:rPr>
      <w:t>Providers Agreement</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7212CF">
      <w:rPr>
        <w:rFonts w:ascii="Arial" w:hAnsi="Arial"/>
        <w:noProof/>
        <w:sz w:val="16"/>
      </w:rPr>
      <w:t>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7A" w:rsidRDefault="00DB1F7A">
      <w:r>
        <w:separator/>
      </w:r>
    </w:p>
  </w:footnote>
  <w:footnote w:type="continuationSeparator" w:id="0">
    <w:p w:rsidR="00DB1F7A" w:rsidRDefault="00DB1F7A">
      <w:r>
        <w:continuationSeparator/>
      </w:r>
    </w:p>
  </w:footnote>
  <w:footnote w:type="continuationNotice" w:id="1">
    <w:p w:rsidR="00DB1F7A" w:rsidRDefault="00DB1F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0C8495F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295"/>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72A"/>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4F9A"/>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1D"/>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680F"/>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1F72C0"/>
    <w:rsid w:val="00200001"/>
    <w:rsid w:val="00200232"/>
    <w:rsid w:val="00200505"/>
    <w:rsid w:val="00200864"/>
    <w:rsid w:val="00202CB8"/>
    <w:rsid w:val="002030D6"/>
    <w:rsid w:val="0020377A"/>
    <w:rsid w:val="00207565"/>
    <w:rsid w:val="00207ACC"/>
    <w:rsid w:val="002129AE"/>
    <w:rsid w:val="002215B8"/>
    <w:rsid w:val="00221EA0"/>
    <w:rsid w:val="0022232B"/>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2D9A"/>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6A29"/>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162"/>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B3547"/>
    <w:rsid w:val="004B64B0"/>
    <w:rsid w:val="004C294D"/>
    <w:rsid w:val="004D0A5B"/>
    <w:rsid w:val="004D73D6"/>
    <w:rsid w:val="004D772A"/>
    <w:rsid w:val="004D7F55"/>
    <w:rsid w:val="004F3857"/>
    <w:rsid w:val="004F7EBD"/>
    <w:rsid w:val="00500F3B"/>
    <w:rsid w:val="00505560"/>
    <w:rsid w:val="00507AAB"/>
    <w:rsid w:val="00512350"/>
    <w:rsid w:val="00532408"/>
    <w:rsid w:val="0053646B"/>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61A"/>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6E5F"/>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12CF"/>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66F"/>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01E1"/>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0C06"/>
    <w:rsid w:val="00AD3988"/>
    <w:rsid w:val="00AD5C49"/>
    <w:rsid w:val="00AD62A2"/>
    <w:rsid w:val="00AD72E2"/>
    <w:rsid w:val="00AE0FA8"/>
    <w:rsid w:val="00AE78F3"/>
    <w:rsid w:val="00AF5F2B"/>
    <w:rsid w:val="00AF73A9"/>
    <w:rsid w:val="00AF7EA1"/>
    <w:rsid w:val="00B01670"/>
    <w:rsid w:val="00B02080"/>
    <w:rsid w:val="00B03281"/>
    <w:rsid w:val="00B12174"/>
    <w:rsid w:val="00B12A07"/>
    <w:rsid w:val="00B14966"/>
    <w:rsid w:val="00B1499A"/>
    <w:rsid w:val="00B1594D"/>
    <w:rsid w:val="00B17649"/>
    <w:rsid w:val="00B20DA7"/>
    <w:rsid w:val="00B2428A"/>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2ECD"/>
    <w:rsid w:val="00BB3123"/>
    <w:rsid w:val="00BB46AF"/>
    <w:rsid w:val="00BB543C"/>
    <w:rsid w:val="00BB5CE5"/>
    <w:rsid w:val="00BC1FC3"/>
    <w:rsid w:val="00BD054C"/>
    <w:rsid w:val="00BD35DE"/>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5C6D"/>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0367"/>
    <w:rsid w:val="00CD2970"/>
    <w:rsid w:val="00CD3208"/>
    <w:rsid w:val="00CD3DDB"/>
    <w:rsid w:val="00CD6061"/>
    <w:rsid w:val="00CD635F"/>
    <w:rsid w:val="00CE098E"/>
    <w:rsid w:val="00CE29E5"/>
    <w:rsid w:val="00CE5257"/>
    <w:rsid w:val="00CE5E1C"/>
    <w:rsid w:val="00CE619E"/>
    <w:rsid w:val="00CE767B"/>
    <w:rsid w:val="00CF0112"/>
    <w:rsid w:val="00CF473E"/>
    <w:rsid w:val="00CF7470"/>
    <w:rsid w:val="00D07C1F"/>
    <w:rsid w:val="00D1448A"/>
    <w:rsid w:val="00D170C5"/>
    <w:rsid w:val="00D203F2"/>
    <w:rsid w:val="00D2073D"/>
    <w:rsid w:val="00D23BE0"/>
    <w:rsid w:val="00D24C78"/>
    <w:rsid w:val="00D30A68"/>
    <w:rsid w:val="00D40082"/>
    <w:rsid w:val="00D42745"/>
    <w:rsid w:val="00D432A2"/>
    <w:rsid w:val="00D43A59"/>
    <w:rsid w:val="00D46939"/>
    <w:rsid w:val="00D475E9"/>
    <w:rsid w:val="00D50877"/>
    <w:rsid w:val="00D5117E"/>
    <w:rsid w:val="00D51F73"/>
    <w:rsid w:val="00D52152"/>
    <w:rsid w:val="00D55730"/>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1F7A"/>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48F1"/>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52"/>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27C9"/>
    <w:rsid w:val="00FE30A7"/>
    <w:rsid w:val="00FE5D97"/>
    <w:rsid w:val="00FF3053"/>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tim.kilmartin@blackwell.co.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4C19E-A6D1-410C-877D-842123F3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2A88A690</Template>
  <TotalTime>0</TotalTime>
  <Pages>6</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2016-08-24T10:02:00Z</dcterms:created>
  <dcterms:modified xsi:type="dcterms:W3CDTF">2016-08-24T10:02:00Z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